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6D" w:rsidRPr="00E630F7" w:rsidRDefault="00F2256D" w:rsidP="00F2256D">
      <w:pPr>
        <w:jc w:val="center"/>
        <w:rPr>
          <w:rFonts w:ascii="Arial Rounded MT Bold" w:hAnsi="Arial Rounded MT Bold"/>
          <w:sz w:val="19"/>
          <w:szCs w:val="19"/>
        </w:rPr>
      </w:pPr>
      <w:r w:rsidRPr="00E630F7">
        <w:rPr>
          <w:rFonts w:ascii="Arial Rounded MT Bold" w:hAnsi="Arial Rounded MT Bold"/>
          <w:sz w:val="19"/>
          <w:szCs w:val="19"/>
        </w:rPr>
        <w:t>Sistema para el Desarrollo Integral de la Familia del Municipio de San Felipe, Gto.</w:t>
      </w:r>
    </w:p>
    <w:p w:rsidR="00F2256D" w:rsidRPr="00E630F7" w:rsidRDefault="00F2256D" w:rsidP="005E6117">
      <w:pPr>
        <w:jc w:val="center"/>
        <w:rPr>
          <w:rFonts w:ascii="Arial Rounded MT Bold" w:hAnsi="Arial Rounded MT Bold"/>
          <w:color w:val="0070C0"/>
          <w:sz w:val="19"/>
          <w:szCs w:val="19"/>
          <w:u w:val="single"/>
        </w:rPr>
      </w:pPr>
      <w:r w:rsidRPr="00E630F7">
        <w:rPr>
          <w:rFonts w:ascii="Arial Rounded MT Bold" w:hAnsi="Arial Rounded MT Bold"/>
          <w:color w:val="0070C0"/>
          <w:sz w:val="19"/>
          <w:szCs w:val="19"/>
          <w:u w:val="single"/>
        </w:rPr>
        <w:t>NOTAS DE GESTIÓN ADMINISTRATIVA</w:t>
      </w:r>
    </w:p>
    <w:p w:rsidR="00A50244" w:rsidRDefault="00A50244" w:rsidP="00A50244">
      <w:pPr>
        <w:spacing w:after="0" w:line="240" w:lineRule="auto"/>
        <w:jc w:val="both"/>
        <w:rPr>
          <w:rFonts w:cstheme="minorHAnsi"/>
          <w:b/>
          <w:sz w:val="19"/>
          <w:szCs w:val="19"/>
        </w:rPr>
      </w:pPr>
      <w:r>
        <w:rPr>
          <w:rFonts w:cstheme="minorHAnsi"/>
          <w:b/>
          <w:sz w:val="19"/>
          <w:szCs w:val="19"/>
        </w:rPr>
        <w:t xml:space="preserve">1. Introducción: </w:t>
      </w:r>
    </w:p>
    <w:p w:rsidR="00F2256D" w:rsidRPr="00E630F7" w:rsidRDefault="00F2256D" w:rsidP="00A50244">
      <w:pPr>
        <w:spacing w:after="0" w:line="240" w:lineRule="auto"/>
        <w:jc w:val="both"/>
        <w:rPr>
          <w:rFonts w:cstheme="minorHAnsi"/>
          <w:sz w:val="19"/>
          <w:szCs w:val="19"/>
        </w:rPr>
      </w:pPr>
      <w:r w:rsidRPr="00E630F7">
        <w:rPr>
          <w:rFonts w:cstheme="minorHAnsi"/>
          <w:sz w:val="19"/>
          <w:szCs w:val="19"/>
        </w:rPr>
        <w:t xml:space="preserve">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w:t>
      </w:r>
      <w:r w:rsidR="0090700E" w:rsidRPr="00E630F7">
        <w:rPr>
          <w:rFonts w:cstheme="minorHAnsi"/>
          <w:sz w:val="19"/>
          <w:szCs w:val="19"/>
        </w:rPr>
        <w:t>representación</w:t>
      </w:r>
      <w:r w:rsidRPr="00E630F7">
        <w:rPr>
          <w:rFonts w:cstheme="minorHAnsi"/>
          <w:sz w:val="19"/>
          <w:szCs w:val="19"/>
        </w:rPr>
        <w:t xml:space="preserve">, asistencia </w:t>
      </w:r>
      <w:r w:rsidR="0090700E" w:rsidRPr="00E630F7">
        <w:rPr>
          <w:rFonts w:cstheme="minorHAnsi"/>
          <w:sz w:val="19"/>
          <w:szCs w:val="19"/>
        </w:rPr>
        <w:t>jurídica</w:t>
      </w:r>
      <w:r w:rsidRPr="00E630F7">
        <w:rPr>
          <w:rFonts w:cstheme="minorHAnsi"/>
          <w:sz w:val="19"/>
          <w:szCs w:val="19"/>
        </w:rPr>
        <w:t xml:space="preserve"> y de </w:t>
      </w:r>
      <w:r w:rsidR="0090700E" w:rsidRPr="00E630F7">
        <w:rPr>
          <w:rFonts w:cstheme="minorHAnsi"/>
          <w:sz w:val="19"/>
          <w:szCs w:val="19"/>
        </w:rPr>
        <w:t>orientación</w:t>
      </w:r>
      <w:r w:rsidRPr="00E630F7">
        <w:rPr>
          <w:rFonts w:cstheme="minorHAnsi"/>
          <w:sz w:val="19"/>
          <w:szCs w:val="19"/>
        </w:rPr>
        <w:t xml:space="preserve"> social a niños y niñas adolecente, </w:t>
      </w:r>
      <w:r w:rsidR="0090700E" w:rsidRPr="00E630F7">
        <w:rPr>
          <w:rFonts w:cstheme="minorHAnsi"/>
          <w:sz w:val="19"/>
          <w:szCs w:val="19"/>
        </w:rPr>
        <w:t>jóvenes</w:t>
      </w:r>
      <w:r w:rsidRPr="00E630F7">
        <w:rPr>
          <w:rFonts w:cstheme="minorHAnsi"/>
          <w:sz w:val="19"/>
          <w:szCs w:val="19"/>
        </w:rPr>
        <w:t xml:space="preserve">, adultos mayores, personas con capacidades diferentes, madres </w:t>
      </w:r>
      <w:r w:rsidR="0090700E" w:rsidRPr="00E630F7">
        <w:rPr>
          <w:rFonts w:cstheme="minorHAnsi"/>
          <w:sz w:val="19"/>
          <w:szCs w:val="19"/>
        </w:rPr>
        <w:t>adolescentes</w:t>
      </w:r>
      <w:r w:rsidRPr="00E630F7">
        <w:rPr>
          <w:rFonts w:cstheme="minorHAnsi"/>
          <w:sz w:val="19"/>
          <w:szCs w:val="19"/>
        </w:rPr>
        <w:t xml:space="preserve"> y solteras, indigentes, </w:t>
      </w:r>
      <w:r w:rsidR="0090700E" w:rsidRPr="00E630F7">
        <w:rPr>
          <w:rFonts w:cstheme="minorHAnsi"/>
          <w:sz w:val="19"/>
          <w:szCs w:val="19"/>
        </w:rPr>
        <w:t>indígenas</w:t>
      </w:r>
      <w:r w:rsidR="00A50244">
        <w:rPr>
          <w:rFonts w:cstheme="minorHAnsi"/>
          <w:sz w:val="19"/>
          <w:szCs w:val="19"/>
        </w:rPr>
        <w:t xml:space="preserve"> y migrantes.</w:t>
      </w:r>
      <w:r w:rsidR="0090700E" w:rsidRPr="00E630F7">
        <w:rPr>
          <w:rFonts w:cstheme="minorHAnsi"/>
          <w:sz w:val="19"/>
          <w:szCs w:val="19"/>
        </w:rPr>
        <w:t xml:space="preserve"> En materia de H</w:t>
      </w:r>
      <w:r w:rsidRPr="00E630F7">
        <w:rPr>
          <w:rFonts w:cstheme="minorHAnsi"/>
          <w:sz w:val="19"/>
          <w:szCs w:val="19"/>
        </w:rPr>
        <w:t xml:space="preserve">acienda </w:t>
      </w:r>
      <w:r w:rsidR="0090700E" w:rsidRPr="00E630F7">
        <w:rPr>
          <w:rFonts w:cstheme="minorHAnsi"/>
          <w:sz w:val="19"/>
          <w:szCs w:val="19"/>
        </w:rPr>
        <w:t>Pública M</w:t>
      </w:r>
      <w:r w:rsidRPr="00E630F7">
        <w:rPr>
          <w:rFonts w:cstheme="minorHAnsi"/>
          <w:sz w:val="19"/>
          <w:szCs w:val="19"/>
        </w:rPr>
        <w:t xml:space="preserve">unicipal: se controla la aplicación del </w:t>
      </w:r>
      <w:r w:rsidR="0090700E" w:rsidRPr="00E630F7">
        <w:rPr>
          <w:rFonts w:cstheme="minorHAnsi"/>
          <w:sz w:val="19"/>
          <w:szCs w:val="19"/>
        </w:rPr>
        <w:t>presupuesto</w:t>
      </w:r>
      <w:r w:rsidRPr="00E630F7">
        <w:rPr>
          <w:rFonts w:cstheme="minorHAnsi"/>
          <w:sz w:val="19"/>
          <w:szCs w:val="19"/>
        </w:rPr>
        <w:t xml:space="preserve"> de egresos del municipio, </w:t>
      </w:r>
      <w:r w:rsidR="0090700E" w:rsidRPr="00E630F7">
        <w:rPr>
          <w:rFonts w:cstheme="minorHAnsi"/>
          <w:sz w:val="19"/>
          <w:szCs w:val="19"/>
        </w:rPr>
        <w:t>elaboración</w:t>
      </w:r>
      <w:r w:rsidRPr="00E630F7">
        <w:rPr>
          <w:rFonts w:cstheme="minorHAnsi"/>
          <w:sz w:val="19"/>
          <w:szCs w:val="19"/>
        </w:rPr>
        <w:t xml:space="preserve"> de </w:t>
      </w:r>
      <w:r w:rsidR="0090700E" w:rsidRPr="00E630F7">
        <w:rPr>
          <w:rFonts w:cstheme="minorHAnsi"/>
          <w:sz w:val="19"/>
          <w:szCs w:val="19"/>
        </w:rPr>
        <w:t>pronóstico</w:t>
      </w:r>
      <w:r w:rsidRPr="00E630F7">
        <w:rPr>
          <w:rFonts w:cstheme="minorHAnsi"/>
          <w:sz w:val="19"/>
          <w:szCs w:val="19"/>
        </w:rPr>
        <w:t xml:space="preserve"> de ingresos y presupuesto de egresos, </w:t>
      </w:r>
      <w:r w:rsidR="0090700E" w:rsidRPr="00E630F7">
        <w:rPr>
          <w:rFonts w:cstheme="minorHAnsi"/>
          <w:sz w:val="19"/>
          <w:szCs w:val="19"/>
        </w:rPr>
        <w:t>así</w:t>
      </w:r>
      <w:r w:rsidRPr="00E630F7">
        <w:rPr>
          <w:rFonts w:cstheme="minorHAnsi"/>
          <w:sz w:val="19"/>
          <w:szCs w:val="19"/>
        </w:rPr>
        <w:t xml:space="preserve"> como </w:t>
      </w:r>
      <w:r w:rsidR="0090700E" w:rsidRPr="00E630F7">
        <w:rPr>
          <w:rFonts w:cstheme="minorHAnsi"/>
          <w:sz w:val="19"/>
          <w:szCs w:val="19"/>
        </w:rPr>
        <w:t>informes</w:t>
      </w:r>
      <w:r w:rsidRPr="00E630F7">
        <w:rPr>
          <w:rFonts w:cstheme="minorHAnsi"/>
          <w:sz w:val="19"/>
          <w:szCs w:val="19"/>
        </w:rPr>
        <w:t xml:space="preserve"> mensuales contables, financieros y de actividades.</w:t>
      </w:r>
    </w:p>
    <w:p w:rsidR="00F2256D" w:rsidRPr="00A50244" w:rsidRDefault="00F2256D"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2. Describir el panorama Económico y Financiero:</w:t>
      </w:r>
      <w:r w:rsidR="0090700E" w:rsidRPr="00E630F7">
        <w:rPr>
          <w:rFonts w:cstheme="minorHAnsi"/>
          <w:b/>
          <w:sz w:val="19"/>
          <w:szCs w:val="19"/>
        </w:rPr>
        <w:t xml:space="preserve">  </w:t>
      </w:r>
    </w:p>
    <w:p w:rsidR="00F2256D" w:rsidRPr="00E630F7" w:rsidRDefault="0090700E" w:rsidP="00F2256D">
      <w:pPr>
        <w:spacing w:after="0" w:line="240" w:lineRule="auto"/>
        <w:jc w:val="both"/>
        <w:rPr>
          <w:rFonts w:cstheme="minorHAnsi"/>
          <w:sz w:val="19"/>
          <w:szCs w:val="19"/>
        </w:rPr>
      </w:pPr>
      <w:r w:rsidRPr="00E630F7">
        <w:rPr>
          <w:rFonts w:cstheme="minorHAnsi"/>
          <w:sz w:val="19"/>
          <w:szCs w:val="19"/>
        </w:rPr>
        <w:t>El SMDIF cuenta con un pronóstico de ingresos y presupuesto de egresos, el cual fue aprobado por el Patronato del SMDIF y ratificado por el H. Ayuntamiento el cual muestra el panorama económico y financiero de la institución.</w:t>
      </w:r>
    </w:p>
    <w:p w:rsidR="00F2256D" w:rsidRPr="00A50244" w:rsidRDefault="00F2256D" w:rsidP="00F2256D">
      <w:pPr>
        <w:spacing w:after="0" w:line="240" w:lineRule="auto"/>
        <w:jc w:val="both"/>
        <w:rPr>
          <w:rFonts w:cstheme="minorHAnsi"/>
          <w:sz w:val="12"/>
          <w:szCs w:val="12"/>
        </w:rPr>
      </w:pPr>
      <w:r w:rsidRPr="00E630F7">
        <w:rPr>
          <w:rFonts w:cstheme="minorHAnsi"/>
          <w:sz w:val="19"/>
          <w:szCs w:val="19"/>
        </w:rPr>
        <w:t xml:space="preserve"> </w:t>
      </w: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3. Autorización e Historia:</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90700E" w:rsidRPr="00E630F7" w:rsidRDefault="00F2256D" w:rsidP="00F2256D">
      <w:pPr>
        <w:spacing w:after="0" w:line="240" w:lineRule="auto"/>
        <w:jc w:val="both"/>
        <w:rPr>
          <w:rFonts w:cstheme="minorHAnsi"/>
          <w:sz w:val="19"/>
          <w:szCs w:val="19"/>
        </w:rPr>
      </w:pPr>
      <w:r w:rsidRPr="00E630F7">
        <w:rPr>
          <w:rFonts w:cstheme="minorHAnsi"/>
          <w:b/>
          <w:sz w:val="19"/>
          <w:szCs w:val="19"/>
        </w:rPr>
        <w:t>a)</w:t>
      </w:r>
      <w:r w:rsidR="0090700E" w:rsidRPr="00E630F7">
        <w:rPr>
          <w:rFonts w:cstheme="minorHAnsi"/>
          <w:sz w:val="19"/>
          <w:szCs w:val="19"/>
        </w:rPr>
        <w:t xml:space="preserve"> Fecha de creación del ente: </w:t>
      </w:r>
      <w:r w:rsidR="00A50244">
        <w:rPr>
          <w:rFonts w:cstheme="minorHAnsi"/>
          <w:sz w:val="19"/>
          <w:szCs w:val="19"/>
        </w:rPr>
        <w:t xml:space="preserve"> </w:t>
      </w:r>
      <w:r w:rsidR="0090700E" w:rsidRPr="00E630F7">
        <w:rPr>
          <w:rFonts w:cstheme="minorHAnsi"/>
          <w:sz w:val="19"/>
          <w:szCs w:val="19"/>
        </w:rPr>
        <w:t>El SMDIF San Felipe fue creado el 19 de noviembre del año 1987.</w:t>
      </w:r>
    </w:p>
    <w:p w:rsidR="00F2256D" w:rsidRPr="00E630F7" w:rsidRDefault="00F2256D" w:rsidP="00F2256D">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Principales cambios en su estr</w:t>
      </w:r>
      <w:r w:rsidR="00A50244">
        <w:rPr>
          <w:rFonts w:cstheme="minorHAnsi"/>
          <w:sz w:val="19"/>
          <w:szCs w:val="19"/>
        </w:rPr>
        <w:t xml:space="preserve">uctura (interna históricamente): </w:t>
      </w:r>
      <w:r w:rsidR="0090700E" w:rsidRPr="00E630F7">
        <w:rPr>
          <w:rFonts w:cstheme="minorHAnsi"/>
          <w:sz w:val="19"/>
          <w:szCs w:val="19"/>
        </w:rPr>
        <w:t>En el año de 1987 el H. Ayuntamiento se da a la tarea de formular un acuerdo de creación para el   SMDIF de San Felipe, Gto</w:t>
      </w:r>
      <w:proofErr w:type="gramStart"/>
      <w:r w:rsidR="0090700E" w:rsidRPr="00E630F7">
        <w:rPr>
          <w:rFonts w:cstheme="minorHAnsi"/>
          <w:sz w:val="19"/>
          <w:szCs w:val="19"/>
        </w:rPr>
        <w:t>. ,</w:t>
      </w:r>
      <w:proofErr w:type="gramEnd"/>
      <w:r w:rsidR="0090700E" w:rsidRPr="00E630F7">
        <w:rPr>
          <w:rFonts w:cstheme="minorHAnsi"/>
          <w:sz w:val="19"/>
          <w:szCs w:val="19"/>
        </w:rPr>
        <w:t xml:space="preserve"> dando con esto una formalidad jurídica a esta institución descentralizada, posteriormente el 20 julio de  2011 fue aprobado un reglamento de esta i</w:t>
      </w:r>
      <w:bookmarkStart w:id="0" w:name="_GoBack"/>
      <w:bookmarkEnd w:id="0"/>
      <w:r w:rsidR="0090700E" w:rsidRPr="00E630F7">
        <w:rPr>
          <w:rFonts w:cstheme="minorHAnsi"/>
          <w:sz w:val="19"/>
          <w:szCs w:val="19"/>
        </w:rPr>
        <w:t xml:space="preserve">nstitución que modifica y deroga al acuerdo de creación, mismo que fue publicado en el periódico oficial el 30 de agosto del 2011. </w:t>
      </w:r>
    </w:p>
    <w:p w:rsidR="00C41208" w:rsidRPr="00A50244" w:rsidRDefault="00C41208"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4. Organización y Objeto Social:</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F2256D" w:rsidRPr="00A50244" w:rsidRDefault="0090700E" w:rsidP="00962586">
      <w:pPr>
        <w:numPr>
          <w:ilvl w:val="0"/>
          <w:numId w:val="3"/>
        </w:numPr>
        <w:spacing w:after="0" w:line="240" w:lineRule="auto"/>
        <w:jc w:val="both"/>
        <w:rPr>
          <w:rFonts w:cstheme="minorHAnsi"/>
          <w:sz w:val="19"/>
          <w:szCs w:val="19"/>
        </w:rPr>
      </w:pPr>
      <w:r w:rsidRPr="00A50244">
        <w:rPr>
          <w:rFonts w:cstheme="minorHAnsi"/>
          <w:sz w:val="19"/>
          <w:szCs w:val="19"/>
        </w:rPr>
        <w:t>Objeto social: Promover la integración de las familias y comunidades más vulnerables a través de políticas públicas y asistencia social.</w:t>
      </w:r>
    </w:p>
    <w:p w:rsidR="00F2256D" w:rsidRPr="00A50244" w:rsidRDefault="00A50244" w:rsidP="00C47914">
      <w:pPr>
        <w:numPr>
          <w:ilvl w:val="0"/>
          <w:numId w:val="3"/>
        </w:numPr>
        <w:spacing w:after="0" w:line="240" w:lineRule="auto"/>
        <w:jc w:val="both"/>
        <w:rPr>
          <w:rFonts w:cstheme="minorHAnsi"/>
          <w:sz w:val="19"/>
          <w:szCs w:val="19"/>
        </w:rPr>
      </w:pPr>
      <w:r w:rsidRPr="00A50244">
        <w:rPr>
          <w:rFonts w:cstheme="minorHAnsi"/>
          <w:sz w:val="19"/>
          <w:szCs w:val="19"/>
        </w:rPr>
        <w:t xml:space="preserve">Principal actividad: </w:t>
      </w:r>
      <w:r w:rsidR="0090700E" w:rsidRPr="00A50244">
        <w:rPr>
          <w:rFonts w:cstheme="minorHAnsi"/>
          <w:sz w:val="19"/>
          <w:szCs w:val="19"/>
        </w:rPr>
        <w:t>La principal actividad es 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rsidR="00F2256D" w:rsidRPr="00A50244" w:rsidRDefault="0090700E" w:rsidP="00641D82">
      <w:pPr>
        <w:numPr>
          <w:ilvl w:val="0"/>
          <w:numId w:val="3"/>
        </w:numPr>
        <w:spacing w:after="0" w:line="240" w:lineRule="auto"/>
        <w:jc w:val="both"/>
        <w:rPr>
          <w:rFonts w:cstheme="minorHAnsi"/>
          <w:sz w:val="19"/>
          <w:szCs w:val="19"/>
        </w:rPr>
      </w:pPr>
      <w:r w:rsidRPr="00A50244">
        <w:rPr>
          <w:rFonts w:cstheme="minorHAnsi"/>
          <w:sz w:val="19"/>
          <w:szCs w:val="19"/>
        </w:rPr>
        <w:t>Ejercicio fiscal:</w:t>
      </w:r>
      <w:r w:rsidR="00A50244" w:rsidRPr="00A50244">
        <w:rPr>
          <w:rFonts w:cstheme="minorHAnsi"/>
          <w:sz w:val="19"/>
          <w:szCs w:val="19"/>
        </w:rPr>
        <w:t xml:space="preserve"> </w:t>
      </w:r>
      <w:r w:rsidR="00A50244">
        <w:rPr>
          <w:rFonts w:cstheme="minorHAnsi"/>
          <w:sz w:val="19"/>
          <w:szCs w:val="19"/>
        </w:rPr>
        <w:t xml:space="preserve"> </w:t>
      </w:r>
      <w:r w:rsidRPr="00A50244">
        <w:rPr>
          <w:rFonts w:cstheme="minorHAnsi"/>
          <w:sz w:val="19"/>
          <w:szCs w:val="19"/>
        </w:rPr>
        <w:t>Del 01 de enero al 30 de septiembre de 2019.</w:t>
      </w:r>
    </w:p>
    <w:p w:rsidR="00F2256D" w:rsidRPr="00A50244" w:rsidRDefault="00F2256D" w:rsidP="00F2256D">
      <w:pPr>
        <w:numPr>
          <w:ilvl w:val="0"/>
          <w:numId w:val="3"/>
        </w:numPr>
        <w:spacing w:after="0" w:line="240" w:lineRule="auto"/>
        <w:jc w:val="both"/>
        <w:rPr>
          <w:rFonts w:cstheme="minorHAnsi"/>
          <w:sz w:val="19"/>
          <w:szCs w:val="19"/>
        </w:rPr>
      </w:pPr>
      <w:r w:rsidRPr="00E630F7">
        <w:rPr>
          <w:rFonts w:cstheme="minorHAnsi"/>
          <w:sz w:val="19"/>
          <w:szCs w:val="19"/>
        </w:rPr>
        <w:t>Régimen jurídico</w:t>
      </w:r>
      <w:r w:rsidR="0090700E" w:rsidRPr="00E630F7">
        <w:rPr>
          <w:rFonts w:cstheme="minorHAnsi"/>
          <w:sz w:val="19"/>
          <w:szCs w:val="19"/>
        </w:rPr>
        <w:t>:</w:t>
      </w:r>
      <w:r w:rsidR="00A50244">
        <w:rPr>
          <w:rFonts w:cstheme="minorHAnsi"/>
          <w:sz w:val="19"/>
          <w:szCs w:val="19"/>
        </w:rPr>
        <w:t xml:space="preserve"> </w:t>
      </w:r>
      <w:r w:rsidR="0090700E" w:rsidRPr="00A50244">
        <w:rPr>
          <w:rFonts w:cstheme="minorHAnsi"/>
          <w:sz w:val="19"/>
          <w:szCs w:val="19"/>
        </w:rPr>
        <w:t>Personas morales sin fines lucrativos.</w:t>
      </w:r>
    </w:p>
    <w:p w:rsidR="00F2256D" w:rsidRPr="00E630F7" w:rsidRDefault="00F2256D" w:rsidP="00E630F7">
      <w:pPr>
        <w:numPr>
          <w:ilvl w:val="0"/>
          <w:numId w:val="3"/>
        </w:numPr>
        <w:spacing w:after="0" w:line="240" w:lineRule="auto"/>
        <w:jc w:val="both"/>
        <w:rPr>
          <w:rFonts w:cstheme="minorHAnsi"/>
          <w:sz w:val="19"/>
          <w:szCs w:val="19"/>
        </w:rPr>
      </w:pPr>
      <w:r w:rsidRPr="00E630F7">
        <w:rPr>
          <w:rFonts w:cstheme="minorHAnsi"/>
          <w:sz w:val="19"/>
          <w:szCs w:val="19"/>
        </w:rPr>
        <w:t>Consideraciones fiscales del ente: Revelar el tipo de contribuciones que esté obligado a pagar o retener.</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w:t>
      </w:r>
      <w:r w:rsidR="0090700E" w:rsidRPr="00E630F7">
        <w:rPr>
          <w:rFonts w:cstheme="minorHAnsi"/>
          <w:sz w:val="19"/>
          <w:szCs w:val="19"/>
        </w:rPr>
        <w:t>eclaración y pago provisional mensual de retenciones de impuesto sobre la renta (</w:t>
      </w:r>
      <w:r w:rsidRPr="00E630F7">
        <w:rPr>
          <w:rFonts w:cstheme="minorHAnsi"/>
          <w:sz w:val="19"/>
          <w:szCs w:val="19"/>
        </w:rPr>
        <w:t>ISR</w:t>
      </w:r>
      <w:r w:rsidR="0090700E" w:rsidRPr="00E630F7">
        <w:rPr>
          <w:rFonts w:cstheme="minorHAnsi"/>
          <w:sz w:val="19"/>
          <w:szCs w:val="19"/>
        </w:rPr>
        <w:t>) por sueldos y salarios.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anual de impuesto sobre la</w:t>
      </w:r>
      <w:r w:rsidRPr="00E630F7">
        <w:rPr>
          <w:rFonts w:cstheme="minorHAnsi"/>
          <w:sz w:val="19"/>
          <w:szCs w:val="19"/>
        </w:rPr>
        <w:t xml:space="preserve"> renta (ISR</w:t>
      </w:r>
      <w:r w:rsidR="0090700E" w:rsidRPr="00E630F7">
        <w:rPr>
          <w:rFonts w:cstheme="minorHAnsi"/>
          <w:sz w:val="19"/>
          <w:szCs w:val="19"/>
        </w:rPr>
        <w:t>) donde informen sobre los pagos y retenciones de servicios profesionales. (personas morales).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anual donde se informe sobre las retenciones de los trabajadores que recibieron sueldos y salarios y trabajadores asimilados a salarios.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y pago provisional mensual de impuesto sobre la renta (</w:t>
      </w:r>
      <w:r w:rsidRPr="00E630F7">
        <w:rPr>
          <w:rFonts w:cstheme="minorHAnsi"/>
          <w:sz w:val="19"/>
          <w:szCs w:val="19"/>
        </w:rPr>
        <w:t>ISR</w:t>
      </w:r>
      <w:r w:rsidR="0090700E" w:rsidRPr="00E630F7">
        <w:rPr>
          <w:rFonts w:cstheme="minorHAnsi"/>
          <w:sz w:val="19"/>
          <w:szCs w:val="19"/>
        </w:rPr>
        <w:t>) por las retenciones realizadas por servicios profesionales.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y pago provisional mensu</w:t>
      </w:r>
      <w:r w:rsidRPr="00E630F7">
        <w:rPr>
          <w:rFonts w:cstheme="minorHAnsi"/>
          <w:sz w:val="19"/>
          <w:szCs w:val="19"/>
        </w:rPr>
        <w:t>al de impuesto sobre la renta (ISR</w:t>
      </w:r>
      <w:r w:rsidR="0090700E" w:rsidRPr="00E630F7">
        <w:rPr>
          <w:rFonts w:cstheme="minorHAnsi"/>
          <w:sz w:val="19"/>
          <w:szCs w:val="19"/>
        </w:rPr>
        <w:t>) por las retenciones realizadas por servicios profesionales.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P</w:t>
      </w:r>
      <w:r w:rsidR="0090700E" w:rsidRPr="00E630F7">
        <w:rPr>
          <w:rFonts w:cstheme="minorHAnsi"/>
          <w:sz w:val="19"/>
          <w:szCs w:val="19"/>
        </w:rPr>
        <w:t xml:space="preserve">resentar la </w:t>
      </w:r>
      <w:r w:rsidRPr="00E630F7">
        <w:rPr>
          <w:rFonts w:cstheme="minorHAnsi"/>
          <w:sz w:val="19"/>
          <w:szCs w:val="19"/>
        </w:rPr>
        <w:t>declaración y pago provisional mensual de Impuesto Sobre la Renta (ISR</w:t>
      </w:r>
      <w:r w:rsidR="0090700E" w:rsidRPr="00E630F7">
        <w:rPr>
          <w:rFonts w:cstheme="minorHAnsi"/>
          <w:sz w:val="19"/>
          <w:szCs w:val="19"/>
        </w:rPr>
        <w:t>) por las retenciones realizadas a los trabajadores asimilados a salarios.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P</w:t>
      </w:r>
      <w:r w:rsidR="0090700E" w:rsidRPr="00E630F7">
        <w:rPr>
          <w:rFonts w:cstheme="minorHAnsi"/>
          <w:sz w:val="19"/>
          <w:szCs w:val="19"/>
        </w:rPr>
        <w:t xml:space="preserve">resentar la </w:t>
      </w:r>
      <w:r w:rsidRPr="00E630F7">
        <w:rPr>
          <w:rFonts w:cstheme="minorHAnsi"/>
          <w:sz w:val="19"/>
          <w:szCs w:val="19"/>
        </w:rPr>
        <w:t>declaración</w:t>
      </w:r>
      <w:r w:rsidR="0090700E" w:rsidRPr="00E630F7">
        <w:rPr>
          <w:rFonts w:cstheme="minorHAnsi"/>
          <w:sz w:val="19"/>
          <w:szCs w:val="19"/>
        </w:rPr>
        <w:t xml:space="preserve"> informativa mensual de proveedores por tasas de </w:t>
      </w:r>
      <w:r w:rsidRPr="00E630F7">
        <w:rPr>
          <w:rFonts w:cstheme="minorHAnsi"/>
          <w:sz w:val="19"/>
          <w:szCs w:val="19"/>
        </w:rPr>
        <w:t>IVA y de IEPS.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P</w:t>
      </w:r>
      <w:r w:rsidR="0090700E" w:rsidRPr="00E630F7">
        <w:rPr>
          <w:rFonts w:cstheme="minorHAnsi"/>
          <w:sz w:val="19"/>
          <w:szCs w:val="19"/>
        </w:rPr>
        <w:t xml:space="preserve">resentar la </w:t>
      </w:r>
      <w:r w:rsidRPr="00E630F7">
        <w:rPr>
          <w:rFonts w:cstheme="minorHAnsi"/>
          <w:sz w:val="19"/>
          <w:szCs w:val="19"/>
        </w:rPr>
        <w:t>declaración</w:t>
      </w:r>
      <w:r w:rsidR="0090700E" w:rsidRPr="00E630F7">
        <w:rPr>
          <w:rFonts w:cstheme="minorHAnsi"/>
          <w:sz w:val="19"/>
          <w:szCs w:val="19"/>
        </w:rPr>
        <w:t xml:space="preserve"> y pago provisional mensual de las retencion</w:t>
      </w:r>
      <w:r w:rsidRPr="00E630F7">
        <w:rPr>
          <w:rFonts w:cstheme="minorHAnsi"/>
          <w:sz w:val="19"/>
          <w:szCs w:val="19"/>
        </w:rPr>
        <w:t>es de impuesto sobre la renta (ISR</w:t>
      </w:r>
      <w:r w:rsidR="0090700E" w:rsidRPr="00E630F7">
        <w:rPr>
          <w:rFonts w:cstheme="minorHAnsi"/>
          <w:sz w:val="19"/>
          <w:szCs w:val="19"/>
        </w:rPr>
        <w:t>) realizadas por el pago de rentas de bienes inmuebles.</w:t>
      </w:r>
    </w:p>
    <w:p w:rsidR="00F2256D" w:rsidRPr="00E630F7" w:rsidRDefault="00A50244" w:rsidP="00F2256D">
      <w:pPr>
        <w:numPr>
          <w:ilvl w:val="0"/>
          <w:numId w:val="2"/>
        </w:numPr>
        <w:spacing w:after="0" w:line="240" w:lineRule="auto"/>
        <w:jc w:val="both"/>
        <w:rPr>
          <w:rFonts w:cstheme="minorHAnsi"/>
          <w:sz w:val="19"/>
          <w:szCs w:val="19"/>
        </w:rPr>
      </w:pPr>
      <w:r w:rsidRPr="00E630F7">
        <w:rPr>
          <w:rFonts w:cstheme="minorHAnsi"/>
          <w:noProof/>
          <w:sz w:val="19"/>
          <w:szCs w:val="19"/>
          <w:lang w:eastAsia="es-MX"/>
        </w:rPr>
        <mc:AlternateContent>
          <mc:Choice Requires="wps">
            <w:drawing>
              <wp:anchor distT="0" distB="0" distL="114300" distR="114300" simplePos="0" relativeHeight="251659264" behindDoc="0" locked="0" layoutInCell="1" allowOverlap="1" wp14:anchorId="74F92BAB" wp14:editId="160D239A">
                <wp:simplePos x="0" y="0"/>
                <wp:positionH relativeFrom="margin">
                  <wp:posOffset>3323436</wp:posOffset>
                </wp:positionH>
                <wp:positionV relativeFrom="paragraph">
                  <wp:posOffset>9192</wp:posOffset>
                </wp:positionV>
                <wp:extent cx="4092331" cy="2999573"/>
                <wp:effectExtent l="0" t="0" r="3810" b="0"/>
                <wp:wrapNone/>
                <wp:docPr id="2" name="Cuadro de texto 2"/>
                <wp:cNvGraphicFramePr/>
                <a:graphic xmlns:a="http://schemas.openxmlformats.org/drawingml/2006/main">
                  <a:graphicData uri="http://schemas.microsoft.com/office/word/2010/wordprocessingShape">
                    <wps:wsp>
                      <wps:cNvSpPr txBox="1"/>
                      <wps:spPr>
                        <a:xfrm>
                          <a:off x="0" y="0"/>
                          <a:ext cx="4092331" cy="2999573"/>
                        </a:xfrm>
                        <a:prstGeom prst="rect">
                          <a:avLst/>
                        </a:prstGeom>
                        <a:solidFill>
                          <a:schemeClr val="lt1"/>
                        </a:solidFill>
                        <a:ln w="6350">
                          <a:noFill/>
                        </a:ln>
                      </wps:spPr>
                      <wps:txbx>
                        <w:txbxContent>
                          <w:p w:rsidR="00E630F7" w:rsidRDefault="00A50244">
                            <w:r w:rsidRPr="005E6117">
                              <w:rPr>
                                <w:rFonts w:cstheme="minorHAnsi"/>
                                <w:noProof/>
                                <w:sz w:val="18"/>
                                <w:szCs w:val="18"/>
                                <w:lang w:eastAsia="es-MX"/>
                              </w:rPr>
                              <w:drawing>
                                <wp:inline distT="0" distB="0" distL="0" distR="0" wp14:anchorId="5B3C5BD0" wp14:editId="359B2CE7">
                                  <wp:extent cx="3901679" cy="2890434"/>
                                  <wp:effectExtent l="0" t="0" r="381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0657" t="30481" r="63858" b="26870"/>
                                          <a:stretch/>
                                        </pic:blipFill>
                                        <pic:spPr bwMode="auto">
                                          <a:xfrm>
                                            <a:off x="0" y="0"/>
                                            <a:ext cx="3909615" cy="289631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92BAB" id="_x0000_t202" coordsize="21600,21600" o:spt="202" path="m,l,21600r21600,l21600,xe">
                <v:stroke joinstyle="miter"/>
                <v:path gradientshapeok="t" o:connecttype="rect"/>
              </v:shapetype>
              <v:shape id="Cuadro de texto 2" o:spid="_x0000_s1026" type="#_x0000_t202" style="position:absolute;left:0;text-align:left;margin-left:261.7pt;margin-top:.7pt;width:322.25pt;height:23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" fillcolor="white [3201]" stroked="f" strokeweight=".5pt">
                <v:textbox>
                  <w:txbxContent>
                    <w:p w:rsidR="00E630F7" w:rsidRDefault="00A50244">
                      <w:r w:rsidRPr="005E6117">
                        <w:rPr>
                          <w:rFonts w:cstheme="minorHAnsi"/>
                          <w:noProof/>
                          <w:sz w:val="18"/>
                          <w:szCs w:val="18"/>
                          <w:lang w:eastAsia="es-MX"/>
                        </w:rPr>
                        <w:drawing>
                          <wp:inline distT="0" distB="0" distL="0" distR="0" wp14:anchorId="5B3C5BD0" wp14:editId="359B2CE7">
                            <wp:extent cx="3901679" cy="2890434"/>
                            <wp:effectExtent l="0" t="0" r="381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0657" t="30481" r="63858" b="26870"/>
                                    <a:stretch/>
                                  </pic:blipFill>
                                  <pic:spPr bwMode="auto">
                                    <a:xfrm>
                                      <a:off x="0" y="0"/>
                                      <a:ext cx="3909615" cy="289631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C41208" w:rsidRPr="00E630F7">
        <w:rPr>
          <w:rFonts w:cstheme="minorHAnsi"/>
          <w:sz w:val="19"/>
          <w:szCs w:val="19"/>
        </w:rPr>
        <w:t>Declaración</w:t>
      </w:r>
      <w:r w:rsidR="0090700E" w:rsidRPr="00E630F7">
        <w:rPr>
          <w:rFonts w:cstheme="minorHAnsi"/>
          <w:sz w:val="19"/>
          <w:szCs w:val="19"/>
        </w:rPr>
        <w:t xml:space="preserve"> informativa anual de subsidio para el empleo. </w:t>
      </w:r>
    </w:p>
    <w:p w:rsidR="00F2256D" w:rsidRPr="00E630F7" w:rsidRDefault="00F2256D" w:rsidP="00F2256D">
      <w:pPr>
        <w:spacing w:after="0" w:line="240" w:lineRule="auto"/>
        <w:ind w:left="720"/>
        <w:jc w:val="both"/>
        <w:rPr>
          <w:rFonts w:cstheme="minorHAnsi"/>
          <w:sz w:val="19"/>
          <w:szCs w:val="19"/>
        </w:rPr>
      </w:pPr>
    </w:p>
    <w:p w:rsidR="00F2256D" w:rsidRPr="00E630F7" w:rsidRDefault="00F2256D" w:rsidP="00F2256D">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Estructura organizacional básica.</w:t>
      </w:r>
    </w:p>
    <w:p w:rsidR="00C41208" w:rsidRPr="00E630F7" w:rsidRDefault="00C41208"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0288" behindDoc="0" locked="0" layoutInCell="1" allowOverlap="1">
                <wp:simplePos x="0" y="0"/>
                <wp:positionH relativeFrom="column">
                  <wp:posOffset>183870</wp:posOffset>
                </wp:positionH>
                <wp:positionV relativeFrom="paragraph">
                  <wp:posOffset>78428</wp:posOffset>
                </wp:positionV>
                <wp:extent cx="1952787" cy="542441"/>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1952787" cy="542441"/>
                        </a:xfrm>
                        <a:prstGeom prst="rect">
                          <a:avLst/>
                        </a:prstGeom>
                        <a:solidFill>
                          <a:schemeClr val="lt1"/>
                        </a:solidFill>
                        <a:ln w="6350">
                          <a:noFill/>
                        </a:ln>
                      </wps:spPr>
                      <wps:txbx>
                        <w:txbxContent>
                          <w:p w:rsidR="00C231B1" w:rsidRPr="00C231B1" w:rsidRDefault="00C231B1">
                            <w:pPr>
                              <w:rPr>
                                <w:b/>
                                <w:sz w:val="28"/>
                              </w:rPr>
                            </w:pPr>
                            <w:r w:rsidRPr="00C231B1">
                              <w:rPr>
                                <w:b/>
                                <w:sz w:val="28"/>
                              </w:rPr>
                              <w:t>Organigrama del Sistema DIF: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4" o:spid="_x0000_s1027" type="#_x0000_t202" style="position:absolute;left:0;text-align:left;margin-left:14.5pt;margin-top:6.2pt;width:153.75pt;height:4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" fillcolor="white [3201]" stroked="f" strokeweight=".5pt">
                <v:textbox>
                  <w:txbxContent>
                    <w:p w:rsidR="00C231B1" w:rsidRPr="00C231B1" w:rsidRDefault="00C231B1">
                      <w:pPr>
                        <w:rPr>
                          <w:b/>
                          <w:sz w:val="28"/>
                        </w:rPr>
                      </w:pPr>
                      <w:r w:rsidRPr="00C231B1">
                        <w:rPr>
                          <w:b/>
                          <w:sz w:val="28"/>
                        </w:rPr>
                        <w:t>Organigrama del Sistema DIF:</w:t>
                      </w:r>
                    </w:p>
                  </w:txbxContent>
                </v:textbox>
              </v:shape>
            </w:pict>
          </mc:Fallback>
        </mc:AlternateContent>
      </w: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1312" behindDoc="0" locked="0" layoutInCell="1" allowOverlap="1">
                <wp:simplePos x="0" y="0"/>
                <wp:positionH relativeFrom="column">
                  <wp:posOffset>1966175</wp:posOffset>
                </wp:positionH>
                <wp:positionV relativeFrom="paragraph">
                  <wp:posOffset>140335</wp:posOffset>
                </wp:positionV>
                <wp:extent cx="968644" cy="333063"/>
                <wp:effectExtent l="0" t="19050" r="41275" b="29210"/>
                <wp:wrapNone/>
                <wp:docPr id="5" name="Flecha derecha 5"/>
                <wp:cNvGraphicFramePr/>
                <a:graphic xmlns:a="http://schemas.openxmlformats.org/drawingml/2006/main">
                  <a:graphicData uri="http://schemas.microsoft.com/office/word/2010/wordprocessingShape">
                    <wps:wsp>
                      <wps:cNvSpPr/>
                      <wps:spPr>
                        <a:xfrm>
                          <a:off x="0" y="0"/>
                          <a:ext cx="968644" cy="333063"/>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520B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154.8pt;margin-top:11.05pt;width:76.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" adj="17886" fillcolor="#002060" strokecolor="#1f4d78 [1604]" strokeweight="1pt"/>
            </w:pict>
          </mc:Fallback>
        </mc:AlternateContent>
      </w: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g)</w:t>
      </w:r>
      <w:r w:rsidRPr="00E630F7">
        <w:rPr>
          <w:rFonts w:cstheme="minorHAnsi"/>
          <w:sz w:val="19"/>
          <w:szCs w:val="19"/>
        </w:rPr>
        <w:t xml:space="preserve"> Fideicomisos, mandatos y análogos de los cuales es fideicomitente o fideicomisario</w:t>
      </w:r>
      <w:r w:rsidR="00E630F7" w:rsidRPr="00E630F7">
        <w:rPr>
          <w:rFonts w:cstheme="minorHAnsi"/>
          <w:sz w:val="19"/>
          <w:szCs w:val="19"/>
        </w:rPr>
        <w:t>: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5. Bases de Preparación de los Estados Financieros: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Si se ha observado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Si nos hemos apegado a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 b)</w:t>
      </w:r>
      <w:r w:rsidRPr="00E630F7">
        <w:rPr>
          <w:rFonts w:cstheme="minorHAnsi"/>
          <w:sz w:val="19"/>
          <w:szCs w:val="19"/>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w:t>
      </w:r>
      <w:r w:rsidR="005E6117" w:rsidRPr="00E630F7">
        <w:rPr>
          <w:rFonts w:cstheme="minorHAnsi"/>
          <w:sz w:val="19"/>
          <w:szCs w:val="19"/>
        </w:rPr>
        <w:t>e han tomado en cuenta.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Postulados básicos.</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Se tiene implementado el Sistema SIHP-SAP, el cual está diseñado de manera que cumpla con los postulados básicos.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El marco jurídico local que rige al municipio, se contempla que lo no previsto, se aplicara la normatividad federal que si lo prevea.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Para las entidades que por primera vez estén implementando </w:t>
      </w:r>
      <w:r w:rsidR="005E6117" w:rsidRPr="00E630F7">
        <w:rPr>
          <w:rFonts w:cstheme="minorHAnsi"/>
          <w:sz w:val="19"/>
          <w:szCs w:val="19"/>
        </w:rPr>
        <w:t>la base devengada</w:t>
      </w:r>
      <w:r w:rsidRPr="00E630F7">
        <w:rPr>
          <w:rFonts w:cstheme="minorHAnsi"/>
          <w:sz w:val="19"/>
          <w:szCs w:val="19"/>
        </w:rPr>
        <w:t xml:space="preserve"> de acuerdo a la Ley de Contabilidad, deberán:</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las nuevas políticas de reconocimiento:</w:t>
      </w:r>
      <w:r w:rsidR="00E630F7" w:rsidRPr="00E630F7">
        <w:rPr>
          <w:rFonts w:cstheme="minorHAnsi"/>
          <w:sz w:val="19"/>
          <w:szCs w:val="19"/>
        </w:rPr>
        <w:t xml:space="preserve"> </w:t>
      </w:r>
      <w:r w:rsidR="005E6117" w:rsidRPr="00E630F7">
        <w:rPr>
          <w:rFonts w:cstheme="minorHAnsi"/>
          <w:sz w:val="19"/>
          <w:szCs w:val="19"/>
        </w:rPr>
        <w:t>Las políticas empleadas están debidamente contempladas y consideradas en la aplicación del Sistema SIHP-SAP.</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*Plan de implementación:</w:t>
      </w:r>
    </w:p>
    <w:p w:rsidR="00C41208" w:rsidRPr="00E630F7" w:rsidRDefault="00E630F7" w:rsidP="00C41208">
      <w:pPr>
        <w:spacing w:after="0" w:line="240" w:lineRule="auto"/>
        <w:jc w:val="both"/>
        <w:rPr>
          <w:rFonts w:cstheme="minorHAnsi"/>
          <w:sz w:val="19"/>
          <w:szCs w:val="19"/>
        </w:rPr>
      </w:pPr>
      <w:r w:rsidRPr="00E630F7">
        <w:rPr>
          <w:rFonts w:cstheme="minorHAnsi"/>
          <w:sz w:val="19"/>
          <w:szCs w:val="19"/>
        </w:rPr>
        <w:t>El SMDIF se apegó en su totalidad al plan nacional de cuentas y al clasificador por rubro de ingresos, por lo que la información que se está generando está completamente armonizada.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los cambios en las políticas, la clasificación y medición de las mismas, así como su impacto en la información financiera:</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 xml:space="preserve">Se apegó en su totalidad al plan nacional de cuentas y al clasificador por rubro de ingresos, por lo que la información que se está generando está completamente armonizada. </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6. Políticas de Contabilidad Significativas: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Actualización: se informará del método utilizado para la actualización del valor de los activos, pasivos y Hacienda Pública/Patrimonio y las razones de dicha elección. Así como informar de la desconexión o reconexión inflacionaria:</w:t>
      </w:r>
      <w:r w:rsidR="005E6117"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Informar sobre la realización de operaciones en el extranjero y de sus efectos en la información financiera gubernamental: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Método de valuación de la inversión en acciones de Compañías subsidiarias no consolidadas y asociadas: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Sistema y método de valuación de inventarios y costo de lo vendido: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Beneficios a empleados: revelar el cálculo de la reserva actuarial, valor presente de los ingresos esperados comparado con el valor presente de la estimación de gastos tanto de los beneficiarios actuales como futuros: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Provisiones: objetivo de su creación, monto y plazo:</w:t>
      </w:r>
    </w:p>
    <w:p w:rsidR="00C41208" w:rsidRPr="00E630F7" w:rsidRDefault="00715F8E" w:rsidP="00C41208">
      <w:pPr>
        <w:spacing w:after="0" w:line="240" w:lineRule="auto"/>
        <w:jc w:val="both"/>
        <w:rPr>
          <w:rFonts w:cstheme="minorHAnsi"/>
          <w:sz w:val="19"/>
          <w:szCs w:val="19"/>
        </w:rPr>
      </w:pPr>
      <w:r w:rsidRPr="00E630F7">
        <w:rPr>
          <w:rFonts w:cstheme="minorHAnsi"/>
          <w:sz w:val="19"/>
          <w:szCs w:val="19"/>
        </w:rPr>
        <w:t>El motivo de provisionar es contemplar un gasto que tenemos pendiente de pagar.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Reservas: objetivo de su creación, monto y plazo: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Cambios en políticas contables y corrección de errores junto con la revelación de los efectos que se tendrá en la información financiera del ente público, ya sea retrospectivos o prospectivos: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i)</w:t>
      </w:r>
      <w:r w:rsidRPr="00E630F7">
        <w:rPr>
          <w:rFonts w:cstheme="minorHAnsi"/>
          <w:sz w:val="19"/>
          <w:szCs w:val="19"/>
        </w:rPr>
        <w:t xml:space="preserve"> Reclasificaciones: Se deben revelar todos aquellos movimientos entre cuentas por efectos de cambios en los tipos de operaciones: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j)</w:t>
      </w:r>
      <w:r w:rsidRPr="00E630F7">
        <w:rPr>
          <w:rFonts w:cstheme="minorHAnsi"/>
          <w:sz w:val="19"/>
          <w:szCs w:val="19"/>
        </w:rPr>
        <w:t xml:space="preserve"> Depuración y cancelación de saldos: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7. Posición en Moneda Extranjera y Protección por Riesgo Cambiario: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Pasivos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c) </w:t>
      </w:r>
      <w:r w:rsidRPr="00E630F7">
        <w:rPr>
          <w:rFonts w:cstheme="minorHAnsi"/>
          <w:sz w:val="19"/>
          <w:szCs w:val="19"/>
        </w:rPr>
        <w:t>Posición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Tipo de cambio: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Equivalente en moneda nacional: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Lo anterior por cada tipo de moneda extranjera que se encuentre en los rubros de activo y pasivo.</w:t>
      </w:r>
      <w:r w:rsidR="00715F8E" w:rsidRPr="00E630F7">
        <w:rPr>
          <w:rFonts w:cstheme="minorHAnsi"/>
          <w:sz w:val="19"/>
          <w:szCs w:val="19"/>
        </w:rPr>
        <w:t xml:space="preserve"> </w:t>
      </w:r>
      <w:r w:rsidRPr="00E630F7">
        <w:rPr>
          <w:rFonts w:cstheme="minorHAnsi"/>
          <w:sz w:val="19"/>
          <w:szCs w:val="19"/>
        </w:rPr>
        <w:t>Adicionalmente se informará sobre los métodos de protección de riesgo por variaciones en el tipo de cambio.</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8. Reporte Analítico del Activo: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Debe mostrar la siguiente información:</w:t>
      </w:r>
    </w:p>
    <w:p w:rsidR="00715F8E" w:rsidRPr="00E630F7" w:rsidRDefault="00C41208" w:rsidP="00715F8E">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Vida útil o porcentajes de depreciación, deterioro o amortización utilizados en los diferentes tipos de activos:</w:t>
      </w:r>
      <w:r w:rsidR="00715F8E" w:rsidRPr="00E630F7">
        <w:rPr>
          <w:rFonts w:cstheme="minorHAnsi"/>
          <w:sz w:val="19"/>
          <w:szCs w:val="19"/>
        </w:rPr>
        <w:t xml:space="preserve"> </w:t>
      </w:r>
    </w:p>
    <w:p w:rsidR="00C41208" w:rsidRPr="00E630F7" w:rsidRDefault="00715F8E" w:rsidP="00715F8E">
      <w:pPr>
        <w:spacing w:after="0" w:line="240" w:lineRule="auto"/>
        <w:jc w:val="both"/>
        <w:rPr>
          <w:rFonts w:cstheme="minorHAnsi"/>
          <w:sz w:val="19"/>
          <w:szCs w:val="19"/>
        </w:rPr>
      </w:pPr>
      <w:r w:rsidRPr="00E630F7">
        <w:rPr>
          <w:rFonts w:cstheme="minorHAnsi"/>
          <w:sz w:val="19"/>
          <w:szCs w:val="19"/>
        </w:rPr>
        <w:t>Se presentan de acuerdo a los registros e Información del Sistema de Contabilidad Gubernamental SIHP-SAP.</w:t>
      </w:r>
      <w:r w:rsidR="00C41208"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Cambios en el porcentaje de depreciación o valor residual de los activos:</w:t>
      </w:r>
      <w:r w:rsidR="00715F8E" w:rsidRPr="00E630F7">
        <w:rPr>
          <w:rFonts w:cstheme="minorHAnsi"/>
          <w:sz w:val="19"/>
          <w:szCs w:val="19"/>
        </w:rPr>
        <w:t xml:space="preserve"> </w:t>
      </w:r>
    </w:p>
    <w:p w:rsidR="00715F8E" w:rsidRPr="00E630F7" w:rsidRDefault="00715F8E" w:rsidP="00715F8E">
      <w:pPr>
        <w:spacing w:after="0" w:line="240" w:lineRule="auto"/>
        <w:jc w:val="both"/>
        <w:rPr>
          <w:rFonts w:cstheme="minorHAnsi"/>
          <w:sz w:val="19"/>
          <w:szCs w:val="19"/>
        </w:rPr>
      </w:pPr>
      <w:r w:rsidRPr="00E630F7">
        <w:rPr>
          <w:rFonts w:cstheme="minorHAnsi"/>
          <w:sz w:val="19"/>
          <w:szCs w:val="19"/>
        </w:rPr>
        <w:t xml:space="preserve">Se presentan de acuerdo a los registros e Información del Sistema de Contabilidad Gubernamental SIHP-SAP.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Importe de los gastos capitalizados en el ejercicio, tanto financieros como de investigación y desarrollo: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Riesgos por tipo de cambio o tipo de interés de las inversiones financieras: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Valor activado en el ejercicio de los bienes construidos por la entidad:</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f)</w:t>
      </w:r>
      <w:r w:rsidRPr="00E630F7">
        <w:rPr>
          <w:rFonts w:cstheme="minorHAnsi"/>
          <w:sz w:val="19"/>
          <w:szCs w:val="19"/>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715F8E" w:rsidRPr="00E630F7">
        <w:rPr>
          <w:rFonts w:cstheme="minorHAnsi"/>
          <w:sz w:val="19"/>
          <w:szCs w:val="19"/>
        </w:rPr>
        <w:t xml:space="preserve"> No Aplica</w:t>
      </w:r>
    </w:p>
    <w:p w:rsidR="00C41208" w:rsidRPr="00E630F7" w:rsidRDefault="00C41208" w:rsidP="00E630F7">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Desmantelamiento de Activos, procedimientos, implicaciones, efectos contables:</w:t>
      </w:r>
      <w:r w:rsidR="00715F8E"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Administración de activos; planeación con el objetivo de que el ente los utilice de manera más efectiva: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Adicionalmente, se deben incluir las explicaciones de las principales variaciones en el activo, en cuadros comparativos como sigue:</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Inversiones en valores: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Patrimonio de Organismos descentralizados de Control Presupuestario Indirecto: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Inversiones en empresas de participación mayoritaria: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Inversiones en empresas de participación minoritaria: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Patrimonio de organismos descentralizados de control presupuestario directo, según corresponda: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9. Fideicomisos, Mandatos y Análogos: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deberá informar: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Por ramo administrativo que los reporta: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Enlistar los de mayor monto de disponibilidad, relacionando aquéllos que conforman el 80% de las disponibilidades: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10. Reporte de la Recaudación: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Análisis del comportamiento de la recaudación correspondiente al ente público o cualquier tipo de ingreso, de forma separada los ingresos locales de los federales:</w:t>
      </w:r>
      <w:r w:rsidR="00E630F7" w:rsidRPr="00E630F7">
        <w:rPr>
          <w:rFonts w:cstheme="minorHAnsi"/>
          <w:sz w:val="19"/>
          <w:szCs w:val="19"/>
        </w:rPr>
        <w:t xml:space="preserve"> </w:t>
      </w:r>
      <w:r w:rsidRPr="00E630F7">
        <w:rPr>
          <w:rFonts w:cstheme="minorHAnsi"/>
          <w:sz w:val="19"/>
          <w:szCs w:val="19"/>
        </w:rPr>
        <w:t>S</w:t>
      </w:r>
      <w:r w:rsidR="00715F8E" w:rsidRPr="00E630F7">
        <w:rPr>
          <w:rFonts w:cstheme="minorHAnsi"/>
          <w:sz w:val="19"/>
          <w:szCs w:val="19"/>
        </w:rPr>
        <w:t>e tienen cuentas separadas por concepto de Recaudación.</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Proyección de la recaudación e ingresos en el mediano plazo:</w:t>
      </w:r>
      <w:r w:rsidR="00715F8E" w:rsidRPr="00E630F7">
        <w:rPr>
          <w:rFonts w:cstheme="minorHAnsi"/>
          <w:sz w:val="19"/>
          <w:szCs w:val="19"/>
        </w:rPr>
        <w:t xml:space="preserve"> Está información se presenta en las Notas de Información Financiera.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w:t>
      </w: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 xml:space="preserve"> 11. Información sobre la Deuda y el Reporte Analítico de la Deuda: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Utilizar al menos los siguientes indicadores: deuda respecto al PIB y deuda respecto a la recaudación tomando, como mínimo, un</w:t>
      </w:r>
      <w:r w:rsidR="00E630F7" w:rsidRPr="00E630F7">
        <w:rPr>
          <w:rFonts w:cstheme="minorHAnsi"/>
          <w:sz w:val="19"/>
          <w:szCs w:val="19"/>
        </w:rPr>
        <w:t xml:space="preserve"> período igual o menor a 5 años: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Información de manera agrupada por tipo de valor gubernamental o instrumento financiero en la que se consideren intereses, comisiones, tasa, perfil de vencimi</w:t>
      </w:r>
      <w:r w:rsidR="00715F8E" w:rsidRPr="00E630F7">
        <w:rPr>
          <w:rFonts w:cstheme="minorHAnsi"/>
          <w:sz w:val="19"/>
          <w:szCs w:val="19"/>
        </w:rPr>
        <w:t>ento y otros gastos de la deuda: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Se </w:t>
      </w:r>
      <w:r w:rsidR="00E630F7" w:rsidRPr="00E630F7">
        <w:rPr>
          <w:rFonts w:cstheme="minorHAnsi"/>
          <w:sz w:val="19"/>
          <w:szCs w:val="19"/>
        </w:rPr>
        <w:t>anexará</w:t>
      </w:r>
      <w:r w:rsidRPr="00E630F7">
        <w:rPr>
          <w:rFonts w:cstheme="minorHAnsi"/>
          <w:sz w:val="19"/>
          <w:szCs w:val="19"/>
        </w:rPr>
        <w:t xml:space="preserve"> la información en las notas de desglose.</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12. Calificaciones otorgadas: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Informar, tanto del ente público como cualquier transacción realizada, que haya sido sujeta a una calificación crediticia: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13. Proceso de Mejora: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de: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Principales Políticas de control interno:</w:t>
      </w:r>
      <w:r w:rsidR="00715F8E" w:rsidRPr="00E630F7">
        <w:rPr>
          <w:rFonts w:cstheme="minorHAnsi"/>
          <w:sz w:val="19"/>
          <w:szCs w:val="19"/>
        </w:rPr>
        <w:t xml:space="preserve"> No se cuenta con Manuales de Procedimientos y de Organización.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Medidas de desempeño financiero, metas y alcance:</w:t>
      </w:r>
      <w:r w:rsidR="005E6117"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14. Información por Segmentos: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Consecuentemente, esta información contribuye al análisis más preciso de la situación financiera, grados y fuentes de riesgo y crec</w:t>
      </w:r>
      <w:r w:rsidR="00A50244">
        <w:rPr>
          <w:rFonts w:cstheme="minorHAnsi"/>
          <w:sz w:val="19"/>
          <w:szCs w:val="19"/>
        </w:rPr>
        <w:t>imiento potencial de negocio: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15. Eventos Posteriores al Cierre:</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El ente público informará el efecto en sus estados financieros de aquellos hechos ocurridos en el período posterior al que informa, que proporcionan mayor evidencia sobre eventos que le </w:t>
      </w:r>
      <w:r w:rsidR="005E6117" w:rsidRPr="00E630F7">
        <w:rPr>
          <w:rFonts w:cstheme="minorHAnsi"/>
          <w:sz w:val="19"/>
          <w:szCs w:val="19"/>
        </w:rPr>
        <w:t>afectan económicamente</w:t>
      </w:r>
      <w:r w:rsidRPr="00E630F7">
        <w:rPr>
          <w:rFonts w:cstheme="minorHAnsi"/>
          <w:sz w:val="19"/>
          <w:szCs w:val="19"/>
        </w:rPr>
        <w:t xml:space="preserve"> y que no se cono</w:t>
      </w:r>
      <w:r w:rsidR="005E6117" w:rsidRPr="00E630F7">
        <w:rPr>
          <w:rFonts w:cstheme="minorHAnsi"/>
          <w:sz w:val="19"/>
          <w:szCs w:val="19"/>
        </w:rPr>
        <w:t>cían a la fecha de cierre: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16. Partes Relacionadas:</w:t>
      </w:r>
    </w:p>
    <w:p w:rsidR="00C41208" w:rsidRPr="00E630F7" w:rsidRDefault="00C41208" w:rsidP="00E630F7">
      <w:pPr>
        <w:spacing w:after="0" w:line="240" w:lineRule="auto"/>
        <w:jc w:val="both"/>
        <w:rPr>
          <w:rFonts w:cstheme="minorHAnsi"/>
          <w:sz w:val="19"/>
          <w:szCs w:val="19"/>
        </w:rPr>
      </w:pPr>
      <w:r w:rsidRPr="00E630F7">
        <w:rPr>
          <w:rFonts w:cstheme="minorHAnsi"/>
          <w:sz w:val="19"/>
          <w:szCs w:val="19"/>
        </w:rPr>
        <w:t>Se debe establecer por escrito que no existen partes relacionadas que pudieran ejercer influencia significativa sobre la toma de decisiones financieras y operativas:</w:t>
      </w:r>
      <w:r w:rsidR="00A50244">
        <w:rPr>
          <w:rFonts w:cstheme="minorHAnsi"/>
          <w:sz w:val="19"/>
          <w:szCs w:val="19"/>
        </w:rPr>
        <w:t xml:space="preserve"> </w:t>
      </w:r>
      <w:r w:rsidR="005E6117" w:rsidRPr="00E630F7">
        <w:rPr>
          <w:rFonts w:cstheme="minorHAnsi"/>
          <w:sz w:val="19"/>
          <w:szCs w:val="19"/>
        </w:rPr>
        <w:t>No Aplica.</w:t>
      </w:r>
    </w:p>
    <w:p w:rsidR="005E6117" w:rsidRPr="00E630F7" w:rsidRDefault="005E6117" w:rsidP="005E6117">
      <w:pPr>
        <w:spacing w:after="0" w:line="240" w:lineRule="auto"/>
        <w:ind w:firstLine="708"/>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17. Responsabilidad Sobre la Presentación Razonable de la Información Contable:</w:t>
      </w:r>
    </w:p>
    <w:p w:rsidR="005E6117" w:rsidRPr="00E630F7" w:rsidRDefault="00C41208" w:rsidP="00C41208">
      <w:pPr>
        <w:spacing w:after="0" w:line="240" w:lineRule="auto"/>
        <w:jc w:val="both"/>
        <w:rPr>
          <w:rFonts w:cstheme="minorHAnsi"/>
          <w:sz w:val="19"/>
          <w:szCs w:val="19"/>
        </w:rPr>
      </w:pPr>
      <w:r w:rsidRPr="00E630F7">
        <w:rPr>
          <w:rFonts w:cstheme="minorHAnsi"/>
          <w:sz w:val="19"/>
          <w:szCs w:val="19"/>
        </w:rPr>
        <w:t xml:space="preserve">La Información Contable deberá estar firmada en cada página de la misma e incluir al final la siguiente leyenda: </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“Bajo protesta de decir verdad declaramos que los Estados Financieros y sus notas, son razonablemente correctos y son responsabilidad del emisor”. Lo anterior, no será aplicable para la información contable consolidada.</w:t>
      </w:r>
    </w:p>
    <w:p w:rsidR="00C41208" w:rsidRPr="00E630F7" w:rsidRDefault="00C41208" w:rsidP="00C41208">
      <w:pPr>
        <w:pBdr>
          <w:bottom w:val="single" w:sz="12" w:space="1" w:color="auto"/>
        </w:pBdr>
        <w:spacing w:after="0" w:line="240" w:lineRule="auto"/>
        <w:jc w:val="both"/>
        <w:rPr>
          <w:rFonts w:cstheme="minorHAnsi"/>
          <w:sz w:val="19"/>
          <w:szCs w:val="19"/>
        </w:rPr>
      </w:pPr>
      <w:r w:rsidRPr="00E630F7">
        <w:rPr>
          <w:rFonts w:cstheme="minorHAnsi"/>
          <w:sz w:val="19"/>
          <w:szCs w:val="19"/>
        </w:rPr>
        <w:t>TODOS LOS ESTADOS FINANCIEROS PRESENTAN LA LEYENDA DESCRITA.</w:t>
      </w:r>
    </w:p>
    <w:p w:rsidR="00F2256D" w:rsidRPr="00F2256D" w:rsidRDefault="00F2256D" w:rsidP="005E6117">
      <w:pPr>
        <w:rPr>
          <w:rFonts w:ascii="Arial Rounded MT Bold" w:hAnsi="Arial Rounded MT Bold"/>
          <w:color w:val="0070C0"/>
          <w:u w:val="single"/>
        </w:rPr>
      </w:pPr>
    </w:p>
    <w:sectPr w:rsidR="00F2256D" w:rsidRPr="00F2256D" w:rsidSect="00E630F7">
      <w:headerReference w:type="default" r:id="rId9"/>
      <w:pgSz w:w="12240" w:h="15840"/>
      <w:pgMar w:top="389" w:right="284" w:bottom="142"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56D" w:rsidRDefault="00F2256D" w:rsidP="00F2256D">
      <w:pPr>
        <w:spacing w:after="0" w:line="240" w:lineRule="auto"/>
      </w:pPr>
      <w:r>
        <w:separator/>
      </w:r>
    </w:p>
  </w:endnote>
  <w:endnote w:type="continuationSeparator" w:id="0">
    <w:p w:rsidR="00F2256D" w:rsidRDefault="00F2256D" w:rsidP="00F2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56D" w:rsidRDefault="00F2256D" w:rsidP="00F2256D">
      <w:pPr>
        <w:spacing w:after="0" w:line="240" w:lineRule="auto"/>
      </w:pPr>
      <w:r>
        <w:separator/>
      </w:r>
    </w:p>
  </w:footnote>
  <w:footnote w:type="continuationSeparator" w:id="0">
    <w:p w:rsidR="00F2256D" w:rsidRDefault="00F2256D" w:rsidP="00F2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D" w:rsidRDefault="00F2256D">
    <w:pPr>
      <w:pStyle w:val="Encabezado"/>
    </w:pPr>
    <w:r>
      <w:rPr>
        <w:noProof/>
        <w:lang w:eastAsia="es-MX"/>
      </w:rPr>
      <mc:AlternateContent>
        <mc:Choice Requires="wps">
          <w:drawing>
            <wp:anchor distT="0" distB="0" distL="114300" distR="114300" simplePos="0" relativeHeight="251659264" behindDoc="0" locked="0" layoutInCell="1" allowOverlap="1">
              <wp:simplePos x="0" y="0"/>
              <wp:positionH relativeFrom="margin">
                <wp:posOffset>-132080</wp:posOffset>
              </wp:positionH>
              <wp:positionV relativeFrom="paragraph">
                <wp:posOffset>-406530</wp:posOffset>
              </wp:positionV>
              <wp:extent cx="7536815" cy="414020"/>
              <wp:effectExtent l="0" t="0" r="6985" b="5080"/>
              <wp:wrapNone/>
              <wp:docPr id="1" name="Cuadro de texto 1"/>
              <wp:cNvGraphicFramePr/>
              <a:graphic xmlns:a="http://schemas.openxmlformats.org/drawingml/2006/main">
                <a:graphicData uri="http://schemas.microsoft.com/office/word/2010/wordprocessingShape">
                  <wps:wsp>
                    <wps:cNvSpPr txBox="1"/>
                    <wps:spPr>
                      <a:xfrm>
                        <a:off x="0" y="0"/>
                        <a:ext cx="7536815" cy="414020"/>
                      </a:xfrm>
                      <a:prstGeom prst="rect">
                        <a:avLst/>
                      </a:prstGeom>
                      <a:solidFill>
                        <a:schemeClr val="bg2">
                          <a:lumMod val="90000"/>
                        </a:schemeClr>
                      </a:solidFill>
                      <a:ln w="6350">
                        <a:noFill/>
                      </a:ln>
                    </wps:spPr>
                    <wps:txb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30 DE SEPTIEMBRE DE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10.4pt;margin-top:-32pt;width:593.45pt;height: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" fillcolor="#cfcdcd [2894]" stroked="f" strokeweight=".5pt">
              <v:textbo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30 DE SEPTIEMBRE DE 2019</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AD4F76"/>
    <w:multiLevelType w:val="hybridMultilevel"/>
    <w:tmpl w:val="5EC2CAD0"/>
    <w:lvl w:ilvl="0" w:tplc="231891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6D"/>
    <w:rsid w:val="005A6899"/>
    <w:rsid w:val="005E6117"/>
    <w:rsid w:val="005E7BD1"/>
    <w:rsid w:val="00715F8E"/>
    <w:rsid w:val="0090700E"/>
    <w:rsid w:val="00A50244"/>
    <w:rsid w:val="00AC76D6"/>
    <w:rsid w:val="00C231B1"/>
    <w:rsid w:val="00C41208"/>
    <w:rsid w:val="00E630F7"/>
    <w:rsid w:val="00F225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2A37D62-271D-4290-9709-BA810B99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56D"/>
  </w:style>
  <w:style w:type="paragraph" w:styleId="Piedepgina">
    <w:name w:val="footer"/>
    <w:basedOn w:val="Normal"/>
    <w:link w:val="PiedepginaCar"/>
    <w:uiPriority w:val="99"/>
    <w:unhideWhenUsed/>
    <w:rsid w:val="00F22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56D"/>
  </w:style>
  <w:style w:type="paragraph" w:styleId="Sinespaciado">
    <w:name w:val="No Spacing"/>
    <w:uiPriority w:val="1"/>
    <w:qFormat/>
    <w:rsid w:val="00F2256D"/>
    <w:pPr>
      <w:spacing w:after="0" w:line="240" w:lineRule="auto"/>
    </w:pPr>
  </w:style>
  <w:style w:type="paragraph" w:styleId="Prrafodelista">
    <w:name w:val="List Paragraph"/>
    <w:basedOn w:val="Normal"/>
    <w:uiPriority w:val="34"/>
    <w:qFormat/>
    <w:rsid w:val="00F2256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1984</Words>
  <Characters>10918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Luis Monzon Garcia</dc:creator>
  <cp:keywords/>
  <dc:description/>
  <cp:lastModifiedBy>PAGINAWEB</cp:lastModifiedBy>
  <cp:revision>3</cp:revision>
  <dcterms:created xsi:type="dcterms:W3CDTF">2019-11-22T19:33:00Z</dcterms:created>
  <dcterms:modified xsi:type="dcterms:W3CDTF">2019-11-22T21:17:00Z</dcterms:modified>
</cp:coreProperties>
</file>